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Banc of California,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2,948,474.00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2,948,474.00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2,948,474.00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2,948,474.00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2,948,474.00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2,948,474.00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2,948,474.00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2,948,474.00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2,948,474.00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Banc of California,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11611 San Vicente Boulevard, Suite 500, Los Angeles, California 90049</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07/13/2026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July 13, 2026, by and among Millennium Management LLC, Millennium Group Management LLC and Israel A. Englander.</w:t>
            </w:r>
          </w:p>
        </w:tc>
      </w:tr>
    </w:tbl>
    <w:p>
      <w:pPr>
        <w:pStyle w:val="TextBody"/>
        <w:bidi w:val="0"/>
        <w:jc w:val="left"/>
        <w:rPr/>
      </w:pPr>
      <w:bookmarkStart w:id="24" w:name="tm2620523d1_ex-i.htm"/>
      <w:bookmarkStart w:id="25" w:name="kstm2620523d1_exi"/>
      <w:bookmarkEnd w:id="24"/>
      <w:bookmarkEnd w:id="25"/>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par value $0.01 per share, of Banc of California,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13, 2026</w:t>
      </w:r>
    </w:p>
    <w:p>
      <w:pPr>
        <w:pStyle w:val="TextBody"/>
        <w:bidi w:val="0"/>
        <w:ind w:left="0" w:right="0" w:hanging="0"/>
        <w:jc w:val="left"/>
        <w:rPr/>
      </w:pPr>
      <w:r>
        <w:rPr/>
        <w:t> </w:t>
      </w:r>
    </w:p>
    <w:tbl>
      <w:tblPr>
        <w:tblW w:w="3905" w:type="dxa"/>
        <w:jc w:val="left"/>
        <w:tblInd w:w="0" w:type="dxa"/>
        <w:tblLayout w:type="fixed"/>
        <w:tblCellMar>
          <w:top w:w="0" w:type="dxa"/>
          <w:left w:w="0" w:type="dxa"/>
          <w:bottom w:w="0" w:type="dxa"/>
          <w:right w:w="0" w:type="dxa"/>
        </w:tblCellMar>
      </w:tblPr>
      <w:tblGrid>
        <w:gridCol w:w="75"/>
        <w:gridCol w:w="3830"/>
      </w:tblGrid>
      <w:tr>
        <w:trPr/>
        <w:tc>
          <w:tcPr>
            <w:tcW w:w="7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GROUP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Israel A. Englander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A. Englander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1376</Words>
  <Characters>7113</Characters>
  <CharactersWithSpaces>8491</CharactersWithSpaces>
  <Paragraphs>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