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0001162870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Banc of California,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001-35522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 MACARTHUR PLACE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Ana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92707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855-361-2262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Warburg Pincus LLC</w:t>
      </w:r>
    </w:p>
    <w:p>
      <w:pPr>
        <w:spacing w:after="0" w:line="44" w:lineRule="exact"/>
        <w:rPr>
          <w:sz w:val="24"/>
          <w:szCs w:val="24"/>
          <w:color w:val="auto"/>
        </w:rPr>
      </w:pPr>
    </w:p>
    <w:p>
      <w:pPr>
        <w:sectPr>
          <w:pgSz w:w="11900" w:h="16838" w:orient="portrait"/>
          <w:cols w:equalWidth="0" w:num="2">
            <w:col w:w="7320" w:space="720"/>
            <w:col w:w="32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383 Madison Avenue</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10179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3917436</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75018899.40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153724787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20" w:type="dxa"/>
            <w:vAlign w:val="bottom"/>
          </w:tcPr>
          <w:p>
            <w:pPr>
              <w:spacing w:after="0"/>
              <w:rPr>
                <w:sz w:val="22"/>
                <w:szCs w:val="22"/>
                <w:color w:val="auto"/>
              </w:rPr>
            </w:pPr>
          </w:p>
        </w:tc>
        <w:tc>
          <w:tcPr>
            <w:tcW w:w="1620" w:type="dxa"/>
            <w:vAlign w:val="bottom"/>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40" w:type="dxa"/>
            <w:vAlign w:val="bottom"/>
          </w:tcPr>
          <w:p>
            <w:pPr>
              <w:jc w:val="center"/>
              <w:ind w:right="171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1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3920" w:type="dxa"/>
            <w:vAlign w:val="bottom"/>
          </w:tcPr>
          <w:p>
            <w:pPr>
              <w:spacing w:after="0"/>
              <w:rPr>
                <w:sz w:val="24"/>
                <w:szCs w:val="24"/>
                <w:color w:val="auto"/>
              </w:rPr>
            </w:pPr>
          </w:p>
        </w:tc>
        <w:tc>
          <w:tcPr>
            <w:tcW w:w="1620" w:type="dxa"/>
            <w:vAlign w:val="bottom"/>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40" w:type="dxa"/>
            <w:vAlign w:val="bottom"/>
          </w:tcPr>
          <w:p>
            <w:pPr>
              <w:jc w:val="center"/>
              <w:ind w:right="173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92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Securities</w:t>
            </w:r>
          </w:p>
        </w:tc>
        <w:tc>
          <w:tcPr>
            <w:tcW w:w="16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Merger</w:t>
            </w:r>
          </w:p>
        </w:tc>
        <w:tc>
          <w:tcPr>
            <w:tcW w:w="0" w:type="dxa"/>
            <w:vAlign w:val="bottom"/>
          </w:tcPr>
          <w:p>
            <w:pPr>
              <w:spacing w:after="0"/>
              <w:rPr>
                <w:sz w:val="1"/>
                <w:szCs w:val="1"/>
                <w:color w:val="auto"/>
              </w:rPr>
            </w:pPr>
          </w:p>
        </w:tc>
      </w:tr>
      <w:tr>
        <w:trPr>
          <w:trHeight w:val="122"/>
        </w:trPr>
        <w:tc>
          <w:tcPr>
            <w:tcW w:w="3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11/30/2023 acquired in a</w:t>
            </w:r>
          </w:p>
        </w:tc>
        <w:tc>
          <w:tcPr>
            <w:tcW w:w="162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Issuer</w:t>
            </w:r>
          </w:p>
        </w:tc>
        <w:tc>
          <w:tcPr>
            <w:tcW w:w="2640" w:type="dxa"/>
            <w:vAlign w:val="bottom"/>
            <w:vMerge w:val="restart"/>
          </w:tcPr>
          <w:p>
            <w:pPr>
              <w:jc w:val="right"/>
              <w:ind w:right="152"/>
              <w:spacing w:after="0"/>
              <w:rPr>
                <w:sz w:val="20"/>
                <w:szCs w:val="20"/>
                <w:color w:val="auto"/>
              </w:rPr>
            </w:pPr>
            <w:r>
              <w:rPr>
                <w:rFonts w:ascii="Times New Roman" w:cs="Times New Roman" w:eastAsia="Times New Roman" w:hAnsi="Times New Roman"/>
                <w:sz w:val="22"/>
                <w:szCs w:val="22"/>
                <w:color w:val="auto"/>
              </w:rPr>
              <w:t>3917436</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11/30/2023</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920" w:type="dxa"/>
            <w:vAlign w:val="bottom"/>
            <w:vMerge w:val="continue"/>
          </w:tcPr>
          <w:p>
            <w:pPr>
              <w:spacing w:after="0"/>
              <w:rPr>
                <w:sz w:val="18"/>
                <w:szCs w:val="18"/>
                <w:color w:val="auto"/>
              </w:rPr>
            </w:pPr>
          </w:p>
        </w:tc>
        <w:tc>
          <w:tcPr>
            <w:tcW w:w="1620" w:type="dxa"/>
            <w:vAlign w:val="bottom"/>
            <w:vMerge w:val="continue"/>
          </w:tcPr>
          <w:p>
            <w:pPr>
              <w:spacing w:after="0"/>
              <w:rPr>
                <w:sz w:val="18"/>
                <w:szCs w:val="18"/>
                <w:color w:val="auto"/>
              </w:rPr>
            </w:pPr>
          </w:p>
        </w:tc>
        <w:tc>
          <w:tcPr>
            <w:tcW w:w="26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26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w w:val="97"/>
              </w:rPr>
              <w:t>Consideration</w:t>
            </w:r>
          </w:p>
        </w:tc>
        <w:tc>
          <w:tcPr>
            <w:tcW w:w="0" w:type="dxa"/>
            <w:vAlign w:val="bottom"/>
          </w:tcPr>
          <w:p>
            <w:pPr>
              <w:spacing w:after="0"/>
              <w:rPr>
                <w:sz w:val="1"/>
                <w:szCs w:val="1"/>
                <w:color w:val="auto"/>
              </w:rPr>
            </w:pPr>
          </w:p>
        </w:tc>
      </w:tr>
      <w:tr>
        <w:trPr>
          <w:trHeight w:val="282"/>
        </w:trPr>
        <w:tc>
          <w:tcPr>
            <w:tcW w:w="392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merger</w:t>
            </w:r>
          </w:p>
        </w:tc>
        <w:tc>
          <w:tcPr>
            <w:tcW w:w="16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Warburg Pincus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450 Lexington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05/07/2026 2640244</w:t>
            </w:r>
          </w:p>
        </w:tc>
        <w:tc>
          <w:tcPr>
            <w:tcW w:w="158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49927014.04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1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(1) Warburg Pincus LLC serves as the investment manager to certain fund entities (the "Sellers") which sold shares</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101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covered by this Form 144.</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10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1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05/26/2026</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40" w:type="dxa"/>
            <w:vAlign w:val="bottom"/>
            <w:vMerge w:val="continue"/>
          </w:tcPr>
          <w:p>
            <w:pPr>
              <w:spacing w:after="0"/>
              <w:rPr>
                <w:sz w:val="10"/>
                <w:szCs w:val="10"/>
                <w:color w:val="auto"/>
              </w:rPr>
            </w:pPr>
          </w:p>
        </w:tc>
        <w:tc>
          <w:tcPr>
            <w:tcW w:w="10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20" w:val="left"/>
        </w:tabs>
        <w:rPr>
          <w:sz w:val="20"/>
          <w:szCs w:val="20"/>
          <w:color w:val="auto"/>
        </w:rPr>
      </w:pPr>
      <w:r>
        <w:rPr>
          <w:rFonts w:ascii="Times New Roman" w:cs="Times New Roman" w:eastAsia="Times New Roman" w:hAnsi="Times New Roman"/>
          <w:sz w:val="22"/>
          <w:szCs w:val="22"/>
          <w:color w:val="auto"/>
        </w:rPr>
        <w:t>Signature</w:t>
        <w:tab/>
        <w:t>/s/ David Sreter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2026-05-26T18:55:35Z</dcterms:created>
  <dcterms:modified xsi:type="dcterms:W3CDTF">2026-05-26T18:55:35Z</dcterms:modified>
</cp:coreProperties>
</file>