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Kauder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BANC OF CALIFORNIA,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MACARTHUR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ANA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92707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BANC OF CALIFORNIA,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8"/>
        <w:gridCol w:w="917"/>
        <w:gridCol w:w="786"/>
        <w:gridCol w:w="609"/>
        <w:gridCol w:w="347"/>
        <w:gridCol w:w="835"/>
        <w:gridCol w:w="441"/>
        <w:gridCol w:w="756"/>
        <w:gridCol w:w="1148"/>
        <w:gridCol w:w="989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5,444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19.15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60,361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6,917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Joseph and Catherine Kauder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disposed to satisfy the Reporting Person's tax liability incurred by the vesting of a previously granted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Ido Dotan, Attorney-in-Fact for Joseph Kauder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4782" TargetMode="External"/><Relationship Id="rId5" Type="http://schemas.openxmlformats.org/officeDocument/2006/relationships/hyperlink" Target="http://www.sec.gov/cgi-bin/browse-edgar?action=getcompany&amp;CIK=00011697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3272</Characters>
  <CharactersWithSpaces>3800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